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A6C5" w14:textId="64FF2C0E" w:rsidR="003E2A0E" w:rsidRDefault="003E2A0E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Kein Handlungsbedarf für gewaltbetroffene Jungen* und Männer*?</w:t>
      </w:r>
    </w:p>
    <w:p w14:paraId="516750EC" w14:textId="25638CF8" w:rsidR="00F5616B" w:rsidRPr="003E2A0E" w:rsidRDefault="00C871DD">
      <w:pPr>
        <w:spacing w:after="120"/>
        <w:rPr>
          <w:bCs/>
          <w:sz w:val="28"/>
          <w:szCs w:val="28"/>
        </w:rPr>
      </w:pPr>
      <w:r w:rsidRPr="003E2A0E">
        <w:rPr>
          <w:bCs/>
          <w:sz w:val="28"/>
          <w:szCs w:val="28"/>
        </w:rPr>
        <w:t>Die Bundesregierung sollte</w:t>
      </w:r>
      <w:r w:rsidR="003A4879" w:rsidRPr="003E2A0E">
        <w:rPr>
          <w:bCs/>
          <w:sz w:val="28"/>
          <w:szCs w:val="28"/>
        </w:rPr>
        <w:t xml:space="preserve"> </w:t>
      </w:r>
      <w:r w:rsidR="003E2A0E" w:rsidRPr="003E2A0E">
        <w:rPr>
          <w:bCs/>
          <w:sz w:val="28"/>
          <w:szCs w:val="28"/>
        </w:rPr>
        <w:t xml:space="preserve">deren </w:t>
      </w:r>
      <w:r w:rsidR="003A4879" w:rsidRPr="003E2A0E">
        <w:rPr>
          <w:bCs/>
          <w:sz w:val="28"/>
          <w:szCs w:val="28"/>
        </w:rPr>
        <w:t>Bedürfnisse bei der weiteren Umsetzung der</w:t>
      </w:r>
      <w:r w:rsidRPr="003E2A0E">
        <w:rPr>
          <w:bCs/>
          <w:sz w:val="28"/>
          <w:szCs w:val="28"/>
        </w:rPr>
        <w:t xml:space="preserve"> Istanbul-</w:t>
      </w:r>
      <w:r w:rsidR="00A27939" w:rsidRPr="003E2A0E">
        <w:rPr>
          <w:bCs/>
          <w:sz w:val="28"/>
          <w:szCs w:val="28"/>
        </w:rPr>
        <w:t>Ko</w:t>
      </w:r>
      <w:r w:rsidR="00A27939">
        <w:rPr>
          <w:bCs/>
          <w:sz w:val="28"/>
          <w:szCs w:val="28"/>
        </w:rPr>
        <w:t>nvent</w:t>
      </w:r>
      <w:r w:rsidR="00A27939" w:rsidRPr="003E2A0E">
        <w:rPr>
          <w:bCs/>
          <w:sz w:val="28"/>
          <w:szCs w:val="28"/>
        </w:rPr>
        <w:t xml:space="preserve">ion </w:t>
      </w:r>
      <w:r w:rsidR="003A4879" w:rsidRPr="003E2A0E">
        <w:rPr>
          <w:bCs/>
          <w:sz w:val="28"/>
          <w:szCs w:val="28"/>
        </w:rPr>
        <w:t xml:space="preserve">in Deutschland </w:t>
      </w:r>
      <w:r w:rsidR="003E2A0E" w:rsidRPr="003E2A0E">
        <w:rPr>
          <w:bCs/>
          <w:sz w:val="28"/>
          <w:szCs w:val="28"/>
        </w:rPr>
        <w:t xml:space="preserve">besser </w:t>
      </w:r>
      <w:r w:rsidRPr="003E2A0E">
        <w:rPr>
          <w:bCs/>
          <w:sz w:val="28"/>
          <w:szCs w:val="28"/>
        </w:rPr>
        <w:t>berücksichtigen</w:t>
      </w:r>
    </w:p>
    <w:p w14:paraId="05F3F9C8" w14:textId="054F512E" w:rsidR="00C871DD" w:rsidRDefault="00C871DD" w:rsidP="00C871DD">
      <w:r>
        <w:t>Am 07. Oktober 2022 veröffentlichte das Expert*</w:t>
      </w:r>
      <w:proofErr w:type="spellStart"/>
      <w:r>
        <w:t>innengremium</w:t>
      </w:r>
      <w:proofErr w:type="spellEnd"/>
      <w:r>
        <w:t xml:space="preserve"> GREVIO des Europarats seinen Bericht zur Umsetzung der Istanbul-Konvention </w:t>
      </w:r>
      <w:r w:rsidR="00E40BC5">
        <w:t xml:space="preserve">(IK) </w:t>
      </w:r>
      <w:r>
        <w:t>in Deutschland</w:t>
      </w:r>
      <w:r>
        <w:rPr>
          <w:rStyle w:val="Endnotenzeichen"/>
        </w:rPr>
        <w:endnoteReference w:id="1"/>
      </w:r>
      <w:r>
        <w:t xml:space="preserve">. Das 2011 in Istanbul entstandene internationale Abkommen zur Bekämpfung von Gewalt gegen Frauen* und </w:t>
      </w:r>
      <w:r w:rsidR="00E40BC5">
        <w:t>h</w:t>
      </w:r>
      <w:r>
        <w:t>äuslicher Gewalt ist seit 2018 in Deutschland rechtsverbindlich. Die unabhängige Expert*</w:t>
      </w:r>
      <w:proofErr w:type="spellStart"/>
      <w:r>
        <w:t>innenkommission</w:t>
      </w:r>
      <w:proofErr w:type="spellEnd"/>
      <w:r>
        <w:t xml:space="preserve"> GREVIO lobt im Bericht zahlreiche Maßnahmen (u. a. das Gewaltschutzgesetz, das nationale Hilfetelefon „Gewalt gegen Frauen“, die Reform des Sexualstrafrechts, etc.), die zur Bekämpfung von Gewalt gegen Frauen* und häuslicher Gewalt ergriffen werden. </w:t>
      </w:r>
    </w:p>
    <w:p w14:paraId="7BC2143E" w14:textId="7DE4D3F2" w:rsidR="00C871DD" w:rsidRDefault="00C871DD" w:rsidP="00C871DD">
      <w:r>
        <w:t xml:space="preserve">Zugleich werden gravierende Mängel beim Schutz von Frauen* vor geschlechtsspezifischer Gewalt benannt. So </w:t>
      </w:r>
      <w:proofErr w:type="gramStart"/>
      <w:r>
        <w:t>fehl</w:t>
      </w:r>
      <w:r w:rsidR="00E40BC5">
        <w:t>en</w:t>
      </w:r>
      <w:proofErr w:type="gramEnd"/>
      <w:r>
        <w:t xml:space="preserve"> u.</w:t>
      </w:r>
      <w:r w:rsidR="00440D65">
        <w:t> </w:t>
      </w:r>
      <w:r>
        <w:t xml:space="preserve">a. weiterhin eine Koordinierungsstelle auf Ebene des Bundes und eine langfristige, bundesweite Strategie zur Umsetzung der </w:t>
      </w:r>
      <w:r w:rsidR="00E40BC5">
        <w:t>IK</w:t>
      </w:r>
      <w:r>
        <w:t xml:space="preserve">. Mit dem weiteren Ausbau von Frauen*haus- und Beratungsplätzen müssen bisher akut unterversorgte Regionen gestärkt werden. Auch beim Schutz von besonders vulnerablen Gruppen (z. B. Frauen* mit Behinderungen, geflüchtete Frauen*, queere Menschen) bescheinigt die Kommission Deutschland erhebliche Defizite in der Umsetzung. </w:t>
      </w:r>
    </w:p>
    <w:p w14:paraId="5F8F7D44" w14:textId="0D36261A" w:rsidR="00C871DD" w:rsidRDefault="00C871DD" w:rsidP="00C871DD">
      <w:r>
        <w:t>Die Bundesfach- und Koordinierungsstelle Männergewaltschutz (BFKM) begrüßt und unterstützt ausdrücklich die Bemühungen, Frauen*</w:t>
      </w:r>
      <w:r w:rsidR="00F06BA3">
        <w:t xml:space="preserve"> und Mädchen*</w:t>
      </w:r>
      <w:r>
        <w:t xml:space="preserve"> vor geschlechtsspezifischer Gewalt</w:t>
      </w:r>
      <w:r w:rsidRPr="001C583B">
        <w:t xml:space="preserve"> </w:t>
      </w:r>
      <w:r>
        <w:t xml:space="preserve">zu schützen, v. a. ausgeübt durch Männer*. Als geschlechtersensibles Gewaltschutzprojekt </w:t>
      </w:r>
      <w:r w:rsidR="00F06BA3">
        <w:t xml:space="preserve">setzen </w:t>
      </w:r>
      <w:r>
        <w:t xml:space="preserve">wir uns jedoch </w:t>
      </w:r>
      <w:r w:rsidR="00F06BA3">
        <w:t xml:space="preserve">ebenso </w:t>
      </w:r>
      <w:r>
        <w:t xml:space="preserve">dafür ein, dass Jungen* und Männer* </w:t>
      </w:r>
      <w:r w:rsidR="00F06BA3">
        <w:t xml:space="preserve">– </w:t>
      </w:r>
      <w:r>
        <w:t xml:space="preserve">genauso wie Frauen*, Mädchen* und queere Menschen </w:t>
      </w:r>
      <w:r w:rsidR="00F06BA3">
        <w:t>–</w:t>
      </w:r>
      <w:r>
        <w:t xml:space="preserve"> ein gewaltfreies Leben führen können.</w:t>
      </w:r>
    </w:p>
    <w:p w14:paraId="1EC58587" w14:textId="5913B478" w:rsidR="00C871DD" w:rsidRDefault="00C871DD" w:rsidP="00C871DD">
      <w:r>
        <w:t xml:space="preserve">In der </w:t>
      </w:r>
      <w:r w:rsidR="00E40BC5">
        <w:t>IK</w:t>
      </w:r>
      <w:r>
        <w:t xml:space="preserve"> wird ausdrücklich empfohlen, dass auch Jungen* und Männer* als Opfer häuslicher Gewalt mit beachtet werden. </w:t>
      </w:r>
      <w:r w:rsidR="007F6DD7" w:rsidRPr="00AD62A7">
        <w:t>Männer</w:t>
      </w:r>
      <w:r w:rsidR="007F6DD7">
        <w:t>*</w:t>
      </w:r>
      <w:r w:rsidR="007F6DD7" w:rsidRPr="00AD62A7">
        <w:t xml:space="preserve"> erleben oft schwere Formen körperlicher Gewalt, vor allem </w:t>
      </w:r>
      <w:r w:rsidR="007F6DD7">
        <w:t xml:space="preserve">im öffentlichen Raum </w:t>
      </w:r>
      <w:r w:rsidR="007F6DD7" w:rsidRPr="00AD62A7">
        <w:t>durch jüngere Männer</w:t>
      </w:r>
      <w:r w:rsidR="007F6DD7">
        <w:t>*, und ebenso können sie von Gewalt</w:t>
      </w:r>
      <w:r w:rsidR="007F6DD7" w:rsidRPr="00870999">
        <w:t xml:space="preserve"> </w:t>
      </w:r>
      <w:r w:rsidR="007F6DD7">
        <w:t xml:space="preserve">im sozialen Nahraum betroffen sein. </w:t>
      </w:r>
      <w:r>
        <w:t>Wir halten die gesellschaftliche Sichtbarkeit und die Anerkennung männlicher* Verletzlichkeit und Gewaltbetroffenheit</w:t>
      </w:r>
      <w:r w:rsidRPr="003907F5">
        <w:t xml:space="preserve"> </w:t>
      </w:r>
      <w:r>
        <w:t xml:space="preserve">für wesentlich, damit sich tradierte Rollen- und Verhaltensmuster von </w:t>
      </w:r>
      <w:r w:rsidR="00F06BA3">
        <w:t xml:space="preserve">Jungen* und </w:t>
      </w:r>
      <w:r>
        <w:t>Männern* ändern können.</w:t>
      </w:r>
      <w:r w:rsidR="007F6DD7">
        <w:t xml:space="preserve"> </w:t>
      </w:r>
      <w:r w:rsidR="00F11D1D">
        <w:t>D</w:t>
      </w:r>
      <w:r w:rsidR="007F6DD7">
        <w:t>ie Aufarbeitung eigenen Gewalterlebens</w:t>
      </w:r>
      <w:r w:rsidR="00F11D1D">
        <w:t xml:space="preserve"> und das Anerkennen eigener Verletzlichkeit ist ein wichtige</w:t>
      </w:r>
      <w:r w:rsidR="00F06BA3">
        <w:t>s</w:t>
      </w:r>
      <w:r w:rsidR="00F11D1D">
        <w:t xml:space="preserve"> </w:t>
      </w:r>
      <w:r w:rsidR="00685A7D">
        <w:t>Puzzle</w:t>
      </w:r>
      <w:r w:rsidR="00F06BA3">
        <w:t xml:space="preserve">teil zur Verhinderung </w:t>
      </w:r>
      <w:r w:rsidR="00F11D1D">
        <w:t>zukünftige</w:t>
      </w:r>
      <w:r w:rsidR="00F06BA3">
        <w:t>r</w:t>
      </w:r>
      <w:r w:rsidR="00F11D1D">
        <w:t xml:space="preserve"> Gewalt. </w:t>
      </w:r>
      <w:r>
        <w:t xml:space="preserve">Deshalb muss es für die Bundesregierung </w:t>
      </w:r>
      <w:r w:rsidR="00440D65">
        <w:t xml:space="preserve">auch </w:t>
      </w:r>
      <w:r>
        <w:t>Pflichtaufgabe sein, sich für die Prävention von häuslicher Gewalt</w:t>
      </w:r>
      <w:r w:rsidR="007E7EB4">
        <w:t xml:space="preserve"> und Gewalt im öffentlichen Raum</w:t>
      </w:r>
      <w:r>
        <w:t xml:space="preserve"> gegen Männer* einzusetzen</w:t>
      </w:r>
      <w:r w:rsidR="00F11D1D">
        <w:t>.</w:t>
      </w:r>
    </w:p>
    <w:p w14:paraId="1AA04E22" w14:textId="548703C0" w:rsidR="00C871DD" w:rsidRDefault="00C871DD" w:rsidP="00C871DD">
      <w:r>
        <w:t xml:space="preserve">Unterstützungsangebote finden </w:t>
      </w:r>
      <w:r w:rsidR="00F11D1D">
        <w:t xml:space="preserve">gewaltbetroffene </w:t>
      </w:r>
      <w:r>
        <w:t>Jungen* und Männer* deutschlandweit bisher zu selten. Unser Bericht „Männer*</w:t>
      </w:r>
      <w:proofErr w:type="spellStart"/>
      <w:r>
        <w:t>gewaltschutz</w:t>
      </w:r>
      <w:proofErr w:type="spellEnd"/>
      <w:r>
        <w:t xml:space="preserve"> und die Umsetzung der Istanbul-Konvention in Deutschland“</w:t>
      </w:r>
      <w:r>
        <w:rPr>
          <w:rStyle w:val="Endnotenzeichen"/>
        </w:rPr>
        <w:endnoteReference w:id="2"/>
      </w:r>
      <w:r>
        <w:t xml:space="preserve">, der </w:t>
      </w:r>
      <w:r w:rsidR="00685A7D">
        <w:t xml:space="preserve">einige </w:t>
      </w:r>
      <w:r>
        <w:t xml:space="preserve">Lücken </w:t>
      </w:r>
      <w:proofErr w:type="gramStart"/>
      <w:r>
        <w:t>im Männer</w:t>
      </w:r>
      <w:proofErr w:type="gramEnd"/>
      <w:r>
        <w:t>*</w:t>
      </w:r>
      <w:proofErr w:type="spellStart"/>
      <w:r>
        <w:t>gewaltschutz</w:t>
      </w:r>
      <w:proofErr w:type="spellEnd"/>
      <w:r>
        <w:t xml:space="preserve"> offen legt, wurde von GREVIO nicht zur Verfassung des vorliegenden Evaluationsberichts hinzugezogen. </w:t>
      </w:r>
    </w:p>
    <w:p w14:paraId="61BABECB" w14:textId="673D4AA1" w:rsidR="000A1E2F" w:rsidRDefault="00C871DD" w:rsidP="000A1E2F">
      <w:r>
        <w:t>Die BFKM begrüßt, dass die Bundesregierung in ihrer Reaktion auf den Evaluationsbericht</w:t>
      </w:r>
      <w:r>
        <w:rPr>
          <w:rStyle w:val="Endnotenzeichen"/>
        </w:rPr>
        <w:endnoteReference w:id="3"/>
      </w:r>
      <w:r>
        <w:t xml:space="preserve"> Unterstützungsangebote für männliche* Gewaltopfer als wesentlichen Teil einer bundesweiten Strategie zur Bekämpfung von geschlechtsspezifischer und häuslicher Gewalt ansieht. Auch wir sehen die Notwendigkeit einer auf Bundesebene angesiedelte</w:t>
      </w:r>
      <w:r w:rsidR="003A4879">
        <w:t>n</w:t>
      </w:r>
      <w:r>
        <w:t xml:space="preserve"> Koordinierungsstelle zur Erarbeitung einer nationalen Strategie zur Umsetzung der Istanbul-Konvention </w:t>
      </w:r>
      <w:r w:rsidR="00F06BA3">
        <w:t>–</w:t>
      </w:r>
      <w:r>
        <w:t xml:space="preserve"> es ist jedoch wichtig, </w:t>
      </w:r>
      <w:r w:rsidR="000F55A7">
        <w:t>dabei</w:t>
      </w:r>
      <w:r>
        <w:t xml:space="preserve"> die Bedürfnisse gewaltbetroffener Jungen* und Männer* einfließen</w:t>
      </w:r>
      <w:r w:rsidR="000F55A7">
        <w:t xml:space="preserve"> zu lassen</w:t>
      </w:r>
      <w:r>
        <w:t>.</w:t>
      </w:r>
    </w:p>
    <w:p w14:paraId="69F92DD8" w14:textId="7CFA4AEE" w:rsidR="000A1E2F" w:rsidRDefault="000F55A7" w:rsidP="000A1E2F">
      <w:r>
        <w:t xml:space="preserve">Hierfür braucht es </w:t>
      </w:r>
      <w:r w:rsidR="000A1E2F">
        <w:t xml:space="preserve">zudem eine bessere Datengrundlage. Daher unterstützt die BFKM die GREVIO-Forderung nach einer umfassenderen Erhebung und Analyse der Daten von </w:t>
      </w:r>
      <w:r w:rsidR="000A1E2F" w:rsidRPr="001E66CA">
        <w:t>Strafverfolgungsbehörden, Justizbehörden, Gesundheits- und Sozialdienste</w:t>
      </w:r>
      <w:r w:rsidR="000A1E2F">
        <w:t xml:space="preserve">. </w:t>
      </w:r>
    </w:p>
    <w:p w14:paraId="096945FC" w14:textId="5ED64B4A" w:rsidR="00C871DD" w:rsidRDefault="00C871DD" w:rsidP="00C871DD">
      <w:r>
        <w:lastRenderedPageBreak/>
        <w:t xml:space="preserve">Wir plädieren – parallel zum Ausbau des </w:t>
      </w:r>
      <w:r w:rsidR="00E40BC5">
        <w:t>Hilfe</w:t>
      </w:r>
      <w:r>
        <w:t xml:space="preserve">systems für gewaltbetroffene </w:t>
      </w:r>
      <w:r w:rsidR="000A1E2F">
        <w:t xml:space="preserve">Mädchen* </w:t>
      </w:r>
      <w:r w:rsidR="000F55A7">
        <w:t xml:space="preserve">und </w:t>
      </w:r>
      <w:r>
        <w:t xml:space="preserve">Frauen* – ausdrücklich für den Auf- und Ausbau angemessener Angebote für gewaltbetroffene </w:t>
      </w:r>
      <w:r w:rsidR="000A1E2F">
        <w:t xml:space="preserve">Jungen* und </w:t>
      </w:r>
      <w:r>
        <w:t xml:space="preserve">Männer*, unter Berücksichtigung der geschlechtlichen Disparität bei Gewaltbetroffenheit. </w:t>
      </w:r>
      <w:r w:rsidR="000A1E2F">
        <w:t xml:space="preserve">Dafür ist eine </w:t>
      </w:r>
      <w:r>
        <w:t xml:space="preserve">rechtlich bindende Grundlage zum Aufbau von Schutz- und Unterstützungsangeboten für gewaltbetroffene </w:t>
      </w:r>
      <w:r w:rsidR="000A1E2F">
        <w:t xml:space="preserve">Jungen* und </w:t>
      </w:r>
      <w:r>
        <w:t xml:space="preserve">Männer* </w:t>
      </w:r>
      <w:r w:rsidR="00B76428">
        <w:t>erforderlich</w:t>
      </w:r>
      <w:r>
        <w:t>.</w:t>
      </w:r>
    </w:p>
    <w:p w14:paraId="0E5ABA3D" w14:textId="77777777" w:rsidR="00C871DD" w:rsidRDefault="00C871DD" w:rsidP="00C871DD"/>
    <w:p w14:paraId="0C9E5D25" w14:textId="0EB4CC07" w:rsidR="00F5616B" w:rsidRDefault="009476F1">
      <w:pPr>
        <w:spacing w:after="120"/>
      </w:pPr>
      <w:r>
        <w:t>Für Fragen steh</w:t>
      </w:r>
      <w:r w:rsidR="00E40BC5">
        <w:t>en</w:t>
      </w:r>
      <w:r>
        <w:t xml:space="preserve"> zur Verfügung:</w:t>
      </w:r>
    </w:p>
    <w:p w14:paraId="32681315" w14:textId="3214F875" w:rsidR="00F5616B" w:rsidRDefault="00E40BC5">
      <w:pPr>
        <w:spacing w:after="0"/>
      </w:pPr>
      <w:r>
        <w:t>Dr.in Anne-Marie Gallrein</w:t>
      </w:r>
      <w:r w:rsidR="009476F1">
        <w:t>, Fachreferent</w:t>
      </w:r>
      <w:r>
        <w:t>in</w:t>
      </w:r>
      <w:r w:rsidR="009476F1">
        <w:t xml:space="preserve"> </w:t>
      </w:r>
      <w:r>
        <w:t>Onlineberatung und -kommunikation</w:t>
      </w:r>
    </w:p>
    <w:p w14:paraId="5DB0E0C6" w14:textId="77777777" w:rsidR="00F5616B" w:rsidRDefault="009476F1">
      <w:pPr>
        <w:spacing w:after="0"/>
      </w:pPr>
      <w:r>
        <w:t>Erna-Berger-Str. 17, 01097 Dresden</w:t>
      </w:r>
    </w:p>
    <w:p w14:paraId="65ABE518" w14:textId="77777777" w:rsidR="00F5616B" w:rsidRPr="00440D65" w:rsidRDefault="009476F1">
      <w:pPr>
        <w:spacing w:after="0"/>
      </w:pPr>
      <w:r w:rsidRPr="00440D65">
        <w:t>Tel.: 0351-27566887, Funk: 0176-63260831</w:t>
      </w:r>
    </w:p>
    <w:p w14:paraId="0E80A968" w14:textId="735E52F1" w:rsidR="00F5616B" w:rsidRPr="00440D65" w:rsidRDefault="009476F1">
      <w:pPr>
        <w:spacing w:after="120"/>
      </w:pPr>
      <w:r w:rsidRPr="00440D65">
        <w:t xml:space="preserve">Mail: </w:t>
      </w:r>
      <w:hyperlink r:id="rId7" w:history="1">
        <w:r w:rsidR="00E40BC5" w:rsidRPr="00440D65">
          <w:rPr>
            <w:rStyle w:val="Hyperlink"/>
          </w:rPr>
          <w:t>anne.gallrein@maennergewaltschutz.de</w:t>
        </w:r>
      </w:hyperlink>
    </w:p>
    <w:p w14:paraId="5E97E12A" w14:textId="77777777" w:rsidR="00E40BC5" w:rsidRPr="00440D65" w:rsidRDefault="00E40BC5">
      <w:pPr>
        <w:spacing w:after="120"/>
        <w:rPr>
          <w:rStyle w:val="Hyperlink"/>
        </w:rPr>
      </w:pPr>
    </w:p>
    <w:p w14:paraId="7BC43646" w14:textId="77777777" w:rsidR="00E40BC5" w:rsidRDefault="00E40BC5" w:rsidP="00E40BC5">
      <w:pPr>
        <w:spacing w:after="0"/>
      </w:pPr>
      <w:r>
        <w:t>Enrico Damme, Fachreferent Presse- und Öffentlichkeitsarbeit</w:t>
      </w:r>
    </w:p>
    <w:p w14:paraId="31632899" w14:textId="77777777" w:rsidR="00E40BC5" w:rsidRDefault="00E40BC5" w:rsidP="00E40BC5">
      <w:pPr>
        <w:spacing w:after="0"/>
      </w:pPr>
      <w:r>
        <w:t>Erna-Berger-Str. 17, 01097 Dresden</w:t>
      </w:r>
    </w:p>
    <w:p w14:paraId="44193126" w14:textId="77777777" w:rsidR="00E40BC5" w:rsidRPr="00440D65" w:rsidRDefault="00E40BC5" w:rsidP="00E40BC5">
      <w:pPr>
        <w:spacing w:after="0"/>
      </w:pPr>
      <w:r w:rsidRPr="00440D65">
        <w:t>Tel.: 0351-27566887, Funk: 0176-63260831</w:t>
      </w:r>
    </w:p>
    <w:p w14:paraId="1DBACEA0" w14:textId="5C96D479" w:rsidR="00F5616B" w:rsidRDefault="00E40BC5" w:rsidP="00E40BC5">
      <w:pPr>
        <w:spacing w:after="120"/>
      </w:pPr>
      <w:r>
        <w:rPr>
          <w:lang w:val="en-US"/>
        </w:rPr>
        <w:t>Mail:</w:t>
      </w:r>
      <w:r w:rsidRPr="00E40BC5">
        <w:t xml:space="preserve"> </w:t>
      </w:r>
      <w:hyperlink r:id="rId8" w:history="1">
        <w:r>
          <w:rPr>
            <w:rStyle w:val="Hyperlink"/>
            <w:lang w:val="en-US"/>
          </w:rPr>
          <w:t>enrico.damme@maennergewaltschutz.de</w:t>
        </w:r>
      </w:hyperlink>
    </w:p>
    <w:sectPr w:rsidR="00F5616B">
      <w:headerReference w:type="default" r:id="rId9"/>
      <w:footerReference w:type="default" r:id="rId10"/>
      <w:pgSz w:w="11906" w:h="16838"/>
      <w:pgMar w:top="1418" w:right="1418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7F0F5" w14:textId="77777777" w:rsidR="00DB2469" w:rsidRDefault="009476F1">
      <w:pPr>
        <w:spacing w:after="0"/>
      </w:pPr>
      <w:r>
        <w:separator/>
      </w:r>
    </w:p>
  </w:endnote>
  <w:endnote w:type="continuationSeparator" w:id="0">
    <w:p w14:paraId="3F987501" w14:textId="77777777" w:rsidR="00DB2469" w:rsidRDefault="009476F1">
      <w:pPr>
        <w:spacing w:after="0"/>
      </w:pPr>
      <w:r>
        <w:continuationSeparator/>
      </w:r>
    </w:p>
  </w:endnote>
  <w:endnote w:id="1">
    <w:p w14:paraId="35FCAA5B" w14:textId="2A0C3D93" w:rsidR="00C871DD" w:rsidRDefault="00C871DD" w:rsidP="00E40BC5">
      <w:r>
        <w:rPr>
          <w:rStyle w:val="Endnotenzeichen"/>
        </w:rPr>
        <w:endnoteRef/>
      </w:r>
      <w:r>
        <w:t xml:space="preserve"> Kurzversion: </w:t>
      </w:r>
      <w:hyperlink r:id="rId1" w:history="1">
        <w:r>
          <w:rPr>
            <w:rStyle w:val="Hyperlink"/>
          </w:rPr>
          <w:t>https://rm.coe.int/executive-summary-grevio-germany-in-german/1680a8693a</w:t>
        </w:r>
      </w:hyperlink>
      <w:r>
        <w:t xml:space="preserve"> Langversion: </w:t>
      </w:r>
      <w:hyperlink r:id="rId2" w:history="1">
        <w:r>
          <w:rPr>
            <w:rStyle w:val="Hyperlink"/>
          </w:rPr>
          <w:t>https://rm.coe.int/report-on-germany-for-publication/1680a86937</w:t>
        </w:r>
      </w:hyperlink>
      <w:r>
        <w:t xml:space="preserve"> </w:t>
      </w:r>
    </w:p>
  </w:endnote>
  <w:endnote w:id="2">
    <w:p w14:paraId="216AF9A6" w14:textId="32A30A51" w:rsidR="00C871DD" w:rsidRDefault="00C871DD" w:rsidP="00C871DD">
      <w:pPr>
        <w:pStyle w:val="Endnotentext"/>
      </w:pPr>
      <w:r>
        <w:rPr>
          <w:rStyle w:val="Endnotenzeichen"/>
        </w:rPr>
        <w:endnoteRef/>
      </w:r>
      <w:r>
        <w:t xml:space="preserve"> </w:t>
      </w:r>
      <w:hyperlink r:id="rId3" w:history="1">
        <w:r w:rsidRPr="00470FB9">
          <w:rPr>
            <w:rStyle w:val="Hyperlink"/>
          </w:rPr>
          <w:t>https://www.maennergewaltschutz.de/mitteilungen-netzwerkpartnerinnen/bestandsaufnahme-istanbul-konvention-maenner/</w:t>
        </w:r>
      </w:hyperlink>
    </w:p>
  </w:endnote>
  <w:endnote w:id="3">
    <w:p w14:paraId="1FF81153" w14:textId="77777777" w:rsidR="00C871DD" w:rsidRDefault="00C871DD" w:rsidP="00C871DD">
      <w:pPr>
        <w:pStyle w:val="Endnotentext"/>
      </w:pPr>
      <w:r>
        <w:rPr>
          <w:rStyle w:val="Endnotenzeichen"/>
        </w:rPr>
        <w:endnoteRef/>
      </w:r>
      <w:r>
        <w:t xml:space="preserve"> Stellungnahme der Bundesregierung: </w:t>
      </w:r>
      <w:hyperlink r:id="rId4" w:history="1">
        <w:r>
          <w:rPr>
            <w:rStyle w:val="Hyperlink"/>
          </w:rPr>
          <w:t>https://rm.coe.int/germany-comments-to-the-grevio-report/1680a86939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15AE4" w14:textId="77777777" w:rsidR="00E40BC5" w:rsidRDefault="00E40BC5">
    <w:pPr>
      <w:pStyle w:val="Fuzeile"/>
      <w:rPr>
        <w:sz w:val="18"/>
        <w:szCs w:val="18"/>
      </w:rPr>
    </w:pPr>
  </w:p>
  <w:p w14:paraId="12E1F224" w14:textId="77777777" w:rsidR="00E40BC5" w:rsidRDefault="00E40BC5">
    <w:pPr>
      <w:pStyle w:val="Fuzeile"/>
      <w:rPr>
        <w:sz w:val="18"/>
        <w:szCs w:val="18"/>
      </w:rPr>
    </w:pPr>
  </w:p>
  <w:p w14:paraId="46DBCD33" w14:textId="5798903A" w:rsidR="001806B7" w:rsidRDefault="009476F1">
    <w:pPr>
      <w:pStyle w:val="Fu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0AB3819" wp14:editId="1393D6ED">
          <wp:simplePos x="0" y="0"/>
          <wp:positionH relativeFrom="column">
            <wp:posOffset>4845789</wp:posOffset>
          </wp:positionH>
          <wp:positionV relativeFrom="paragraph">
            <wp:posOffset>-353918</wp:posOffset>
          </wp:positionV>
          <wp:extent cx="1157511" cy="686604"/>
          <wp:effectExtent l="0" t="0" r="4539" b="0"/>
          <wp:wrapNone/>
          <wp:docPr id="2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7511" cy="68660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t>* Wir respektieren und geschlechtliche und sexuelle Vielfalt.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D907E" w14:textId="77777777" w:rsidR="00DB2469" w:rsidRDefault="009476F1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D43E8F6" w14:textId="77777777" w:rsidR="00DB2469" w:rsidRDefault="009476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31" w:type="dxa"/>
      <w:tblInd w:w="-72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6683"/>
      <w:gridCol w:w="2248"/>
    </w:tblGrid>
    <w:tr w:rsidR="001806B7" w14:paraId="6FFEF0F8" w14:textId="77777777">
      <w:tc>
        <w:tcPr>
          <w:tcW w:w="6683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2313AE63" w14:textId="77777777" w:rsidR="001806B7" w:rsidRDefault="009476F1">
          <w:pPr>
            <w:pStyle w:val="Kopfzeile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PRESSEMITTEILUNG</w:t>
          </w:r>
        </w:p>
      </w:tc>
      <w:tc>
        <w:tcPr>
          <w:tcW w:w="2248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4515CA4E" w14:textId="77777777" w:rsidR="001806B7" w:rsidRDefault="009476F1">
          <w:pPr>
            <w:pStyle w:val="Kopfzeile"/>
            <w:jc w:val="right"/>
          </w:pPr>
          <w:r>
            <w:rPr>
              <w:b/>
              <w:noProof/>
              <w:sz w:val="36"/>
              <w:szCs w:val="36"/>
            </w:rPr>
            <w:drawing>
              <wp:inline distT="0" distB="0" distL="0" distR="0" wp14:anchorId="1D6F6144" wp14:editId="54F330FD">
                <wp:extent cx="1041401" cy="266703"/>
                <wp:effectExtent l="0" t="0" r="6349" b="0"/>
                <wp:docPr id="1" name="Grafik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1401" cy="2667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F43BF" w14:textId="174DC72B" w:rsidR="001806B7" w:rsidRDefault="000E19AD">
    <w:pPr>
      <w:pStyle w:val="Kopfzeile"/>
      <w:ind w:left="-170"/>
    </w:pPr>
  </w:p>
  <w:p w14:paraId="1DDE72A6" w14:textId="77777777" w:rsidR="00C222FC" w:rsidRDefault="00C222FC">
    <w:pPr>
      <w:pStyle w:val="Kopfzeile"/>
      <w:ind w:left="-17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16B"/>
    <w:rsid w:val="00086A91"/>
    <w:rsid w:val="000A1E2F"/>
    <w:rsid w:val="000F55A7"/>
    <w:rsid w:val="00293C03"/>
    <w:rsid w:val="003A4879"/>
    <w:rsid w:val="003E2A0E"/>
    <w:rsid w:val="00440D65"/>
    <w:rsid w:val="00445638"/>
    <w:rsid w:val="005211CD"/>
    <w:rsid w:val="00685A7D"/>
    <w:rsid w:val="00697ADE"/>
    <w:rsid w:val="007E7EB4"/>
    <w:rsid w:val="007F6DD7"/>
    <w:rsid w:val="008B7990"/>
    <w:rsid w:val="008D5F5E"/>
    <w:rsid w:val="009335D2"/>
    <w:rsid w:val="009476F1"/>
    <w:rsid w:val="00A27939"/>
    <w:rsid w:val="00B76428"/>
    <w:rsid w:val="00BA2403"/>
    <w:rsid w:val="00C222FC"/>
    <w:rsid w:val="00C330FC"/>
    <w:rsid w:val="00C871DD"/>
    <w:rsid w:val="00D17B59"/>
    <w:rsid w:val="00DB2469"/>
    <w:rsid w:val="00DE50B5"/>
    <w:rsid w:val="00E40BC5"/>
    <w:rsid w:val="00E71670"/>
    <w:rsid w:val="00F06BA3"/>
    <w:rsid w:val="00F11D1D"/>
    <w:rsid w:val="00F5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D6A1C"/>
  <w15:docId w15:val="{99CA6997-071F-430F-B7FC-8C1226F8C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de-DE" w:eastAsia="de-DE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after="160"/>
    </w:pPr>
    <w:rPr>
      <w:rFonts w:cs="Times New Roman"/>
      <w:sz w:val="22"/>
      <w:szCs w:val="22"/>
      <w:lang w:eastAsia="en-US"/>
    </w:rPr>
  </w:style>
  <w:style w:type="paragraph" w:styleId="berschrift2">
    <w:name w:val="heading 2"/>
    <w:basedOn w:val="Standard"/>
    <w:uiPriority w:val="9"/>
    <w:semiHidden/>
    <w:unhideWhenUsed/>
    <w:qFormat/>
    <w:pPr>
      <w:spacing w:before="100" w:after="100"/>
      <w:outlineLvl w:val="1"/>
    </w:pPr>
    <w:rPr>
      <w:rFonts w:ascii="Times New Roman" w:hAnsi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rPr>
      <w:rFonts w:ascii="Times New Roman" w:hAnsi="Times New Roman" w:cs="Times New Roman"/>
      <w:b/>
      <w:bCs/>
      <w:sz w:val="36"/>
      <w:szCs w:val="36"/>
      <w:lang w:eastAsia="de-DE"/>
    </w:rPr>
  </w:style>
  <w:style w:type="paragraph" w:styleId="Listenabsatz">
    <w:name w:val="List Paragraph"/>
    <w:basedOn w:val="Standard"/>
    <w:pPr>
      <w:ind w:left="720"/>
    </w:pPr>
  </w:style>
  <w:style w:type="character" w:styleId="Hyperlink">
    <w:name w:val="Hyperlink"/>
    <w:rPr>
      <w:rFonts w:cs="Times New Roman"/>
      <w:color w:val="0563C1"/>
      <w:u w:val="single"/>
    </w:rPr>
  </w:style>
  <w:style w:type="paragraph" w:styleId="NurText">
    <w:name w:val="Plain Text"/>
    <w:basedOn w:val="Standard"/>
    <w:pPr>
      <w:spacing w:after="0"/>
    </w:pPr>
    <w:rPr>
      <w:szCs w:val="21"/>
    </w:rPr>
  </w:style>
  <w:style w:type="character" w:customStyle="1" w:styleId="NurTextZchn">
    <w:name w:val="Nur Text Zchn"/>
    <w:rPr>
      <w:rFonts w:ascii="Calibri" w:hAnsi="Calibri" w:cs="Times New Roman"/>
      <w:sz w:val="21"/>
      <w:szCs w:val="21"/>
    </w:rPr>
  </w:style>
  <w:style w:type="character" w:styleId="BesuchterLink">
    <w:name w:val="FollowedHyperlink"/>
    <w:rPr>
      <w:rFonts w:cs="Times New Roman"/>
      <w:color w:val="954F72"/>
      <w:u w:val="single"/>
    </w:rPr>
  </w:style>
  <w:style w:type="paragraph" w:styleId="KeinLeerraum">
    <w:name w:val="No Spacing"/>
    <w:pPr>
      <w:suppressAutoHyphens/>
    </w:pPr>
    <w:rPr>
      <w:rFonts w:cs="Times New Roman"/>
      <w:sz w:val="22"/>
      <w:szCs w:val="22"/>
      <w:lang w:eastAsia="en-US"/>
    </w:rPr>
  </w:style>
  <w:style w:type="paragraph" w:styleId="Sprechblasentext">
    <w:name w:val="Balloon Text"/>
    <w:basedOn w:val="Standar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rPr>
      <w:rFonts w:cs="Times New Roman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rPr>
      <w:rFonts w:cs="Times New Roman"/>
    </w:rPr>
  </w:style>
  <w:style w:type="character" w:styleId="Fett">
    <w:name w:val="Strong"/>
    <w:rPr>
      <w:rFonts w:cs="Times New Roman"/>
      <w:b/>
      <w:bCs/>
    </w:rPr>
  </w:style>
  <w:style w:type="character" w:styleId="Kommentarzeichen">
    <w:name w:val="annotation reference"/>
    <w:rPr>
      <w:rFonts w:cs="Times New Roman"/>
      <w:sz w:val="16"/>
      <w:szCs w:val="16"/>
    </w:rPr>
  </w:style>
  <w:style w:type="paragraph" w:styleId="Kommentartext">
    <w:name w:val="annotation text"/>
    <w:basedOn w:val="Standard"/>
    <w:rPr>
      <w:sz w:val="20"/>
      <w:szCs w:val="20"/>
    </w:rPr>
  </w:style>
  <w:style w:type="character" w:customStyle="1" w:styleId="KommentartextZchn">
    <w:name w:val="Kommentartext Zchn"/>
    <w:rPr>
      <w:rFonts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rPr>
      <w:b/>
      <w:bCs/>
    </w:rPr>
  </w:style>
  <w:style w:type="character" w:customStyle="1" w:styleId="KommentarthemaZchn">
    <w:name w:val="Kommentarthema Zchn"/>
    <w:rPr>
      <w:rFonts w:cs="Times New Roman"/>
      <w:b/>
      <w:bCs/>
      <w:sz w:val="20"/>
      <w:szCs w:val="20"/>
    </w:rPr>
  </w:style>
  <w:style w:type="character" w:styleId="Funotenzeichen">
    <w:name w:val="footnote reference"/>
    <w:rPr>
      <w:rFonts w:cs="Times New Roman"/>
      <w:position w:val="0"/>
      <w:vertAlign w:val="superscript"/>
    </w:rPr>
  </w:style>
  <w:style w:type="character" w:styleId="NichtaufgelsteErwhnung">
    <w:name w:val="Unresolved Mention"/>
    <w:rPr>
      <w:rFonts w:cs="Times New Roman"/>
      <w:color w:val="808080"/>
      <w:shd w:val="clear" w:color="auto" w:fill="E6E6E6"/>
    </w:rPr>
  </w:style>
  <w:style w:type="paragraph" w:styleId="berarbeitung">
    <w:name w:val="Revision"/>
    <w:pPr>
      <w:suppressAutoHyphens/>
    </w:pPr>
    <w:rPr>
      <w:rFonts w:cs="Times New Roman"/>
      <w:sz w:val="22"/>
      <w:szCs w:val="22"/>
      <w:lang w:eastAsia="en-US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C871DD"/>
    <w:pPr>
      <w:suppressAutoHyphens w:val="0"/>
      <w:autoSpaceDN/>
      <w:spacing w:after="0"/>
      <w:textAlignment w:val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C871DD"/>
    <w:rPr>
      <w:rFonts w:asciiTheme="minorHAnsi" w:eastAsiaTheme="minorHAnsi" w:hAnsiTheme="minorHAnsi" w:cstheme="minorBidi"/>
      <w:lang w:eastAsia="en-US"/>
    </w:rPr>
  </w:style>
  <w:style w:type="character" w:styleId="Endnotenzeichen">
    <w:name w:val="endnote reference"/>
    <w:basedOn w:val="Absatz-Standardschriftart"/>
    <w:uiPriority w:val="99"/>
    <w:semiHidden/>
    <w:unhideWhenUsed/>
    <w:rsid w:val="00C871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rico.damme@maennergewaltschutz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e.gallrein@maennergewaltschutz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aennergewaltschutz.de/mitteilungen-netzwerkpartnerinnen/bestandsaufnahme-istanbul-konvention-maenner/" TargetMode="External"/><Relationship Id="rId2" Type="http://schemas.openxmlformats.org/officeDocument/2006/relationships/hyperlink" Target="https://rm.coe.int/report-on-germany-for-publication/1680a86937" TargetMode="External"/><Relationship Id="rId1" Type="http://schemas.openxmlformats.org/officeDocument/2006/relationships/hyperlink" Target="https://rm.coe.int/executive-summary-grevio-germany-in-german/1680a8693a" TargetMode="External"/><Relationship Id="rId4" Type="http://schemas.openxmlformats.org/officeDocument/2006/relationships/hyperlink" Target="https://rm.coe.int/germany-comments-to-the-grevio-report/1680a8693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E7934-9DA0-4109-B0FC-57F2426FE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Damme</dc:creator>
  <dc:description/>
  <cp:lastModifiedBy>Enrico Damme</cp:lastModifiedBy>
  <cp:revision>2</cp:revision>
  <cp:lastPrinted>2022-09-01T12:01:00Z</cp:lastPrinted>
  <dcterms:created xsi:type="dcterms:W3CDTF">2022-10-17T12:20:00Z</dcterms:created>
  <dcterms:modified xsi:type="dcterms:W3CDTF">2022-10-17T12:20:00Z</dcterms:modified>
</cp:coreProperties>
</file>